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Příloha č. 2</w:t>
      </w:r>
    </w:p>
    <w:p w:rsidR="00000000" w:rsidDel="00000000" w:rsidP="00000000" w:rsidRDefault="00000000" w:rsidRPr="00000000" w14:paraId="00000002">
      <w:pPr>
        <w:spacing w:after="120" w:line="256.8" w:lineRule="auto"/>
        <w:ind w:lef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rPr>
          <w:b w:val="1"/>
        </w:rPr>
      </w:pPr>
      <w:bookmarkStart w:colFirst="0" w:colLast="0" w:name="_mxkz5h2l7dt" w:id="0"/>
      <w:bookmarkEnd w:id="0"/>
      <w:r w:rsidDel="00000000" w:rsidR="00000000" w:rsidRPr="00000000">
        <w:rPr>
          <w:b w:val="1"/>
          <w:rtl w:val="0"/>
        </w:rPr>
        <w:t xml:space="preserve">ČESTNÉ PROHLÁŠENÍ</w:t>
      </w:r>
    </w:p>
    <w:p w:rsidR="00000000" w:rsidDel="00000000" w:rsidP="00000000" w:rsidRDefault="00000000" w:rsidRPr="00000000" w14:paraId="00000004">
      <w:pPr>
        <w:spacing w:after="40" w:line="266.4" w:lineRule="auto"/>
        <w:rPr/>
      </w:pPr>
      <w:r w:rsidDel="00000000" w:rsidR="00000000" w:rsidRPr="00000000">
        <w:rPr>
          <w:rtl w:val="0"/>
        </w:rPr>
        <w:t xml:space="preserve">o splnění základní způsobilosti podle § 74 odst. 1 písm. a) až e) zákona č. 134/2016 Sb., o zadávání veřejných zakázek</w:t>
      </w:r>
    </w:p>
    <w:p w:rsidR="00000000" w:rsidDel="00000000" w:rsidP="00000000" w:rsidRDefault="00000000" w:rsidRPr="00000000" w14:paraId="00000005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-158.173228346456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245"/>
        <w:gridCol w:w="705"/>
        <w:gridCol w:w="1785"/>
        <w:gridCol w:w="1245"/>
        <w:gridCol w:w="1245"/>
        <w:gridCol w:w="1245"/>
        <w:tblGridChange w:id="0">
          <w:tblGrid>
            <w:gridCol w:w="1290"/>
            <w:gridCol w:w="1245"/>
            <w:gridCol w:w="705"/>
            <w:gridCol w:w="1785"/>
            <w:gridCol w:w="1245"/>
            <w:gridCol w:w="1245"/>
            <w:gridCol w:w="12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f9cb9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56.8" w:lineRule="auto"/>
              <w:ind w:left="260" w:firstLine="0"/>
              <w:rPr/>
            </w:pPr>
            <w:r w:rsidDel="00000000" w:rsidR="00000000" w:rsidRPr="00000000">
              <w:rPr>
                <w:rtl w:val="0"/>
              </w:rPr>
              <w:t xml:space="preserve">Obchodní název uchazeče:</w:t>
            </w:r>
          </w:p>
        </w:tc>
        <w:tc>
          <w:tcPr>
            <w:gridSpan w:val="4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f9cb9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56.8" w:lineRule="auto"/>
              <w:ind w:left="260" w:firstLine="0"/>
              <w:rPr/>
            </w:pPr>
            <w:r w:rsidDel="00000000" w:rsidR="00000000" w:rsidRPr="00000000">
              <w:rPr>
                <w:rtl w:val="0"/>
              </w:rPr>
              <w:t xml:space="preserve">Adresa sídla uchazeče:</w:t>
            </w:r>
          </w:p>
        </w:tc>
        <w:tc>
          <w:tcPr>
            <w:gridSpan w:val="4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9cb9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56.8" w:lineRule="auto"/>
              <w:ind w:left="260" w:firstLine="0"/>
              <w:rPr/>
            </w:pPr>
            <w:r w:rsidDel="00000000" w:rsidR="00000000" w:rsidRPr="00000000">
              <w:rPr>
                <w:rtl w:val="0"/>
              </w:rPr>
              <w:t xml:space="preserve">IČ:</w:t>
            </w:r>
          </w:p>
        </w:tc>
        <w:tc>
          <w:tcPr>
            <w:gridSpan w:val="4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9cb9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56.8" w:lineRule="auto"/>
              <w:ind w:left="260" w:firstLine="0"/>
              <w:rPr/>
            </w:pPr>
            <w:r w:rsidDel="00000000" w:rsidR="00000000" w:rsidRPr="00000000">
              <w:rPr>
                <w:rtl w:val="0"/>
              </w:rPr>
              <w:t xml:space="preserve">Titul, jméno, příjmení, funkce statutárního zástupce či odpovědné osoby:</w:t>
            </w:r>
          </w:p>
        </w:tc>
        <w:tc>
          <w:tcPr>
            <w:gridSpan w:val="4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line="256.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Prohlašuji, že jako uchazeč o veřejnou zakázku malého rozsahu na dodávku s názvem „Nábytek 2024“ splňuji níže uvedenou základní způsobilost a jsem dodavatelem, který: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840" w:right="-20" w:hanging="420"/>
        <w:jc w:val="both"/>
        <w:rPr/>
      </w:pPr>
      <w:r w:rsidDel="00000000" w:rsidR="00000000" w:rsidRPr="00000000">
        <w:rPr>
          <w:rtl w:val="0"/>
        </w:rPr>
        <w:t xml:space="preserve">a)   nebyl v zemi svého sídla v posledních 5 letech před zahájením zadávacího řízení pravomocně odsouzen pro trestný čin spáchaný ve prospěch organizované zločinecké skupiny nebo trestný čin účasti na organizované zločinecké skupině; trestný čin obchodování s lidmi; trestné činy proti majetku – podvod, úvěrový podvod, dotační podvod, podílnictví, podílnictví z nedbalosti, legalizace výnosů z trestné činnosti, legalizace výnosů z trestné činnosti z nedbalosti; trestné činy hospodářské – zneužití informace a postavení v obchodním styku, sjednání výhody při zadání veřejné zakázky, při veřejné soutěži a veřejné dražbě, pletichy při zadání veřejné zakázky a veřejné soutěže, pletichy při veřejné dražbě, poškození finančních zájmů Evropské unie; trestné činy obecně nebezpečné; trestné činy proti ČR, cizímu státu a mezinárodní organizaci; trestné činy proti pořádku ve věcech veřejných – trestné činy proti výkonu pravomoci orgánu veřejné moci a úřední osoby, trestné činy úředních osob, úplatkářství, jiná rušení činnosti orgánu veřejné moci; nebo obdobný trestný čin podle právního řádu země sídla dodavatele;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80" w:line="276" w:lineRule="auto"/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</w:t>
      </w:r>
      <w:r w:rsidDel="00000000" w:rsidR="00000000" w:rsidRPr="00000000">
        <w:rPr>
          <w:sz w:val="20"/>
          <w:szCs w:val="20"/>
          <w:rtl w:val="0"/>
        </w:rPr>
        <w:t xml:space="preserve">de-li o právnickou osobu, musí tento předpoklad splňovat právnická osoba a zároveň každý člen statutárního orgánu, a je-li statutárním orgánem dodavatele právnická osoba, musí tento předpoklad splňovat tato právnická osoba, každý člen statutárního orgánu této právnické osoby, osoba zastupující tuto právnickou osobu v statutárním orgánu dodavatele; účastní-li se pobočka závodu zahraniční právnické osoby, musí předpoklad podle tohoto písmene splňovat tato právnická osoba a vedoucí pobočky závodu; účastní-li se pobočka závodu české právnické osoby, musí předpoklad podle tohoto písmene splňovat tato právnická osoba, každý člen statutárního orgánu této právnické osoby, osoba zastupující tuto právnickou osobu v statutárním orgánu dodavatele, a vedoucí pobočky závodu, </w:t>
      </w:r>
    </w:p>
    <w:p w:rsidR="00000000" w:rsidDel="00000000" w:rsidP="00000000" w:rsidRDefault="00000000" w:rsidRPr="00000000" w14:paraId="0000002A">
      <w:pPr>
        <w:spacing w:after="40" w:lineRule="auto"/>
        <w:ind w:left="840" w:right="-20" w:hanging="420"/>
        <w:jc w:val="both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nemá v České republice nebo v zemi svého sídla v evidenci daní zachycen splatný daňový nedoplatek;</w:t>
      </w:r>
    </w:p>
    <w:p w:rsidR="00000000" w:rsidDel="00000000" w:rsidP="00000000" w:rsidRDefault="00000000" w:rsidRPr="00000000" w14:paraId="0000002B">
      <w:pPr>
        <w:spacing w:after="40" w:lineRule="auto"/>
        <w:ind w:left="840" w:right="-20" w:hanging="420"/>
        <w:jc w:val="both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nemá v České republice nebo v zemi svého sídla splatný nedoplatek na pojistném nebo na penále na veřejné zdravotní pojištění;</w:t>
      </w:r>
    </w:p>
    <w:p w:rsidR="00000000" w:rsidDel="00000000" w:rsidP="00000000" w:rsidRDefault="00000000" w:rsidRPr="00000000" w14:paraId="0000002C">
      <w:pPr>
        <w:ind w:left="840" w:right="-20" w:hanging="420"/>
        <w:jc w:val="both"/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nemá v České republice nebo v zemi svého sídla splatný nedoplatek na pojistném nebo na penále na sociální zabezpečení a příspěvku na státní politiku zaměstnanosti;</w:t>
      </w:r>
    </w:p>
    <w:p w:rsidR="00000000" w:rsidDel="00000000" w:rsidP="00000000" w:rsidRDefault="00000000" w:rsidRPr="00000000" w14:paraId="0000002D">
      <w:pPr>
        <w:ind w:left="840" w:right="-20" w:hanging="420"/>
        <w:jc w:val="both"/>
        <w:rPr/>
      </w:pPr>
      <w:r w:rsidDel="00000000" w:rsidR="00000000" w:rsidRPr="00000000">
        <w:rPr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není v likvidaci, proti němuž nebylo vydáno rozhodnutí o úpadku, vůči němuž nebyla nařízena nucená správa podle jiného právního předpisu nebo v obdobné situaci podle právního řádu země sídla dodavatele.</w:t>
      </w:r>
    </w:p>
    <w:p w:rsidR="00000000" w:rsidDel="00000000" w:rsidP="00000000" w:rsidRDefault="00000000" w:rsidRPr="00000000" w14:paraId="0000002E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6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6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66.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66.4" w:lineRule="auto"/>
        <w:rPr>
          <w:color w:val="666666"/>
        </w:rPr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color w:val="666666"/>
          <w:rtl w:val="0"/>
        </w:rPr>
        <w:t xml:space="preserve">_________________________________</w:t>
      </w:r>
      <w:r w:rsidDel="00000000" w:rsidR="00000000" w:rsidRPr="00000000">
        <w:rPr>
          <w:rtl w:val="0"/>
        </w:rPr>
        <w:t xml:space="preserve">, dne </w:t>
      </w:r>
      <w:r w:rsidDel="00000000" w:rsidR="00000000" w:rsidRPr="00000000">
        <w:rPr>
          <w:color w:val="666666"/>
          <w:rtl w:val="0"/>
        </w:rPr>
        <w:t xml:space="preserve">_____________________</w:t>
      </w:r>
    </w:p>
    <w:p w:rsidR="00000000" w:rsidDel="00000000" w:rsidP="00000000" w:rsidRDefault="00000000" w:rsidRPr="00000000" w14:paraId="00000035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56.8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        </w:t>
        <w:tab/>
        <w:t xml:space="preserve">        </w:t>
        <w:tab/>
        <w:t xml:space="preserve">        </w:t>
        <w:tab/>
        <w:t xml:space="preserve">        </w:t>
        <w:tab/>
        <w:t xml:space="preserve"> </w:t>
      </w:r>
    </w:p>
    <w:p w:rsidR="00000000" w:rsidDel="00000000" w:rsidP="00000000" w:rsidRDefault="00000000" w:rsidRPr="00000000" w14:paraId="0000003E">
      <w:pPr>
        <w:spacing w:after="40" w:line="266.4" w:lineRule="auto"/>
        <w:ind w:right="3440"/>
        <w:rPr/>
      </w:pPr>
      <w:r w:rsidDel="00000000" w:rsidR="00000000" w:rsidRPr="00000000">
        <w:rPr>
          <w:color w:val="666666"/>
          <w:rtl w:val="0"/>
        </w:rPr>
        <w:t xml:space="preserve">___________________________________  </w:t>
      </w:r>
      <w:r w:rsidDel="00000000" w:rsidR="00000000" w:rsidRPr="00000000">
        <w:rPr>
          <w:rtl w:val="0"/>
        </w:rPr>
        <w:tab/>
        <w:t xml:space="preserve">     </w:t>
      </w:r>
    </w:p>
    <w:p w:rsidR="00000000" w:rsidDel="00000000" w:rsidP="00000000" w:rsidRDefault="00000000" w:rsidRPr="00000000" w14:paraId="0000003F">
      <w:pPr>
        <w:spacing w:after="40" w:line="266.4" w:lineRule="auto"/>
        <w:ind w:right="3440"/>
        <w:rPr/>
      </w:pPr>
      <w:r w:rsidDel="00000000" w:rsidR="00000000" w:rsidRPr="00000000">
        <w:rPr>
          <w:rtl w:val="0"/>
        </w:rPr>
        <w:t xml:space="preserve">razítko a podpis osoby oprávněné jednat</w:t>
      </w:r>
    </w:p>
    <w:p w:rsidR="00000000" w:rsidDel="00000000" w:rsidP="00000000" w:rsidRDefault="00000000" w:rsidRPr="00000000" w14:paraId="00000040">
      <w:pPr>
        <w:spacing w:after="40" w:line="266.4" w:lineRule="auto"/>
        <w:ind w:right="3440"/>
        <w:rPr/>
      </w:pPr>
      <w:r w:rsidDel="00000000" w:rsidR="00000000" w:rsidRPr="00000000">
        <w:rPr>
          <w:rtl w:val="0"/>
        </w:rPr>
        <w:t xml:space="preserve">jménem nebo  za uchazeče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417" w:top="1417" w:left="1701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Verdana" w:cs="Verdana" w:eastAsia="Verdana" w:hAnsi="Verdana"/>
        <w:color w:val="666666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-38099</wp:posOffset>
          </wp:positionV>
          <wp:extent cx="759079" cy="661988"/>
          <wp:effectExtent b="0" l="0" r="0" t="0"/>
          <wp:wrapSquare wrapText="bothSides" distB="0" distT="0" distL="0" distR="0"/>
          <wp:docPr descr="ZSJAK logo.png" id="1" name="image1.png"/>
          <a:graphic>
            <a:graphicData uri="http://schemas.openxmlformats.org/drawingml/2006/picture">
              <pic:pic>
                <pic:nvPicPr>
                  <pic:cNvPr descr="ZSJAK logo.png" id="0" name="image1.png"/>
                  <pic:cNvPicPr preferRelativeResize="0"/>
                </pic:nvPicPr>
                <pic:blipFill>
                  <a:blip r:embed="rId1"/>
                  <a:srcRect b="37726" l="0" r="0" t="0"/>
                  <a:stretch>
                    <a:fillRect/>
                  </a:stretch>
                </pic:blipFill>
                <pic:spPr>
                  <a:xfrm>
                    <a:off x="0" y="0"/>
                    <a:ext cx="759079" cy="6619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Základní škola J. A. Komenského, příspěvková organizace </w:t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Komenského 1534, Lysá nad Labem 289 22, okres Nymburk</w:t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line="276" w:lineRule="auto"/>
      <w:rPr>
        <w:color w:val="434343"/>
        <w:sz w:val="18"/>
        <w:szCs w:val="18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Tel./fax. 325 551 220</w:t>
    </w:r>
    <w:r w:rsidDel="00000000" w:rsidR="00000000" w:rsidRPr="00000000">
      <w:rPr>
        <w:color w:val="434343"/>
        <w:sz w:val="18"/>
        <w:szCs w:val="18"/>
        <w:rtl w:val="0"/>
      </w:rPr>
      <w:t xml:space="preserve">   </w:t>
    </w: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info@zsjaklysa.cz</w:t>
      </w:r>
    </w:hyperlink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    </w:t>
    </w:r>
    <w:hyperlink r:id="rId3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www.zsjaklysa.cz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rPr>
        <w:rFonts w:ascii="Trebuchet MS" w:cs="Trebuchet MS" w:eastAsia="Trebuchet MS" w:hAnsi="Trebuchet MS"/>
        <w:color w:val="666666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rebuchet MS" w:cs="Trebuchet MS" w:eastAsia="Trebuchet MS" w:hAnsi="Trebuchet MS"/>
        <w:color w:val="666666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2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sjaklysa.cz" TargetMode="External"/><Relationship Id="rId3" Type="http://schemas.openxmlformats.org/officeDocument/2006/relationships/hyperlink" Target="http://www.zsjaklys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