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Příloha č. 1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Krycí list nabídky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240" w:lineRule="auto"/>
              <w:jc w:val="center"/>
              <w:rPr>
                <w:b w:val="1"/>
                <w:sz w:val="32"/>
                <w:szCs w:val="32"/>
                <w:shd w:fill="f9cb9c" w:val="clear"/>
              </w:rPr>
            </w:pPr>
            <w:r w:rsidDel="00000000" w:rsidR="00000000" w:rsidRPr="00000000">
              <w:rPr>
                <w:b w:val="1"/>
                <w:sz w:val="32"/>
                <w:szCs w:val="32"/>
                <w:shd w:fill="f9cb9c" w:val="clear"/>
                <w:rtl w:val="0"/>
              </w:rPr>
              <w:t xml:space="preserve">VEŘEJNÁ ZAKÁZKA MALÉHO ROZSAHU NA DODÁVKU: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32"/>
                <w:szCs w:val="32"/>
                <w:shd w:fill="f9cb9c" w:val="clear"/>
              </w:rPr>
            </w:pPr>
            <w:r w:rsidDel="00000000" w:rsidR="00000000" w:rsidRPr="00000000">
              <w:rPr>
                <w:b w:val="1"/>
                <w:sz w:val="32"/>
                <w:szCs w:val="32"/>
                <w:shd w:fill="f9cb9c" w:val="clear"/>
                <w:rtl w:val="0"/>
              </w:rPr>
              <w:t xml:space="preserve">„Nábytek 2024“</w:t>
            </w:r>
          </w:p>
        </w:tc>
      </w:tr>
    </w:tbl>
    <w:p w:rsidR="00000000" w:rsidDel="00000000" w:rsidP="00000000" w:rsidRDefault="00000000" w:rsidRPr="00000000" w14:paraId="00000005">
      <w:pPr>
        <w:spacing w:after="40" w:line="240" w:lineRule="auto"/>
        <w:rPr>
          <w:sz w:val="46"/>
          <w:szCs w:val="46"/>
          <w:vertAlign w:val="superscript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ZADAVATEL                        </w:t>
        <w:tab/>
      </w:r>
      <w:r w:rsidDel="00000000" w:rsidR="00000000" w:rsidRPr="00000000">
        <w:rPr>
          <w:b w:val="1"/>
          <w:sz w:val="72"/>
          <w:szCs w:val="72"/>
          <w:vertAlign w:val="superscript"/>
          <w:rtl w:val="0"/>
        </w:rPr>
        <w:t xml:space="preserve">    </w:t>
        <w:tab/>
      </w:r>
      <w:r w:rsidDel="00000000" w:rsidR="00000000" w:rsidRPr="00000000">
        <w:rPr>
          <w:sz w:val="46"/>
          <w:szCs w:val="46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" w:line="240" w:lineRule="auto"/>
        <w:ind w:left="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  <w:tab/>
      </w:r>
    </w:p>
    <w:tbl>
      <w:tblPr>
        <w:tblStyle w:val="Table2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5955"/>
        <w:tblGridChange w:id="0">
          <w:tblGrid>
            <w:gridCol w:w="3030"/>
            <w:gridCol w:w="5955"/>
          </w:tblGrid>
        </w:tblGridChange>
      </w:tblGrid>
      <w:tr>
        <w:trPr>
          <w:cantSplit w:val="0"/>
          <w:trHeight w:val="412.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Zadavatel veřejné zakázky: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Základní škola J. A. Komenského Lysá nad Labem</w:t>
            </w:r>
          </w:p>
        </w:tc>
      </w:tr>
      <w:tr>
        <w:trPr>
          <w:cantSplit w:val="0"/>
          <w:trHeight w:val="412.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Sídlo zadavatele: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Komenského 1534, 289 22 Lysá nad Labem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Zadavatele zastupuje: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Mgr. Martina Ondrušková, ředitelka školy</w:t>
            </w:r>
          </w:p>
        </w:tc>
      </w:tr>
      <w:tr>
        <w:trPr>
          <w:cantSplit w:val="0"/>
          <w:trHeight w:val="412.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IČ zadavatele: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61632244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4530"/>
        <w:tblGridChange w:id="0">
          <w:tblGrid>
            <w:gridCol w:w="4380"/>
            <w:gridCol w:w="4530"/>
          </w:tblGrid>
        </w:tblGridChange>
      </w:tblGrid>
      <w:tr>
        <w:trPr>
          <w:cantSplit w:val="0"/>
          <w:trHeight w:val="79.9370078740157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Způsob výběrového řízení: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9370078740157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5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 souladu s § 27 a dle ustanovení § 31 zákona č. 134/2016 Sb. O zadávání veřejných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5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zakázek (dále jen "zákon") - výběrové řízení vedené mimo režim zákona. </w:t>
            </w:r>
          </w:p>
        </w:tc>
      </w:tr>
    </w:tbl>
    <w:p w:rsidR="00000000" w:rsidDel="00000000" w:rsidP="00000000" w:rsidRDefault="00000000" w:rsidRPr="00000000" w14:paraId="00000015">
      <w:pPr>
        <w:rPr>
          <w:sz w:val="46"/>
          <w:szCs w:val="46"/>
          <w:vertAlign w:val="superscript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ÚČASTNÍK                                                </w:t>
        <w:tab/>
      </w:r>
      <w:r w:rsidDel="00000000" w:rsidR="00000000" w:rsidRPr="00000000">
        <w:rPr>
          <w:b w:val="1"/>
          <w:sz w:val="72"/>
          <w:szCs w:val="72"/>
          <w:vertAlign w:val="superscript"/>
          <w:rtl w:val="0"/>
        </w:rPr>
        <w:t xml:space="preserve">                                            </w:t>
      </w:r>
      <w:r w:rsidDel="00000000" w:rsidR="00000000" w:rsidRPr="00000000">
        <w:rPr>
          <w:sz w:val="46"/>
          <w:szCs w:val="46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</w:t>
        <w:tab/>
        <w:t xml:space="preserve">           </w:t>
        <w:tab/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tbl>
      <w:tblPr>
        <w:tblStyle w:val="Table4"/>
        <w:tblW w:w="8985.0" w:type="dxa"/>
        <w:jc w:val="left"/>
        <w:tblInd w:w="-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6405"/>
        <w:tblGridChange w:id="0">
          <w:tblGrid>
            <w:gridCol w:w="2580"/>
            <w:gridCol w:w="6405"/>
          </w:tblGrid>
        </w:tblGridChange>
      </w:tblGrid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Obchodní firma nebo 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Sídlo: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IČO: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DIČ: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Osoba oprávněná zastupovat účastníka: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Kontaktní osoba: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46.488188976377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E-mail, telefon: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hd w:fill="f9cb9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shd w:fill="f9cb9c" w:val="clear"/>
                <w:rtl w:val="0"/>
              </w:rPr>
              <w:t xml:space="preserve">Nabídková cena v Kč (včetně DPH):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417" w:top="1417" w:left="1701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Verdana" w:cs="Verdana" w:eastAsia="Verdana" w:hAnsi="Verdana"/>
        <w:color w:val="666666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4476750</wp:posOffset>
          </wp:positionH>
          <wp:positionV relativeFrom="paragraph">
            <wp:posOffset>-57149</wp:posOffset>
          </wp:positionV>
          <wp:extent cx="783193" cy="681038"/>
          <wp:effectExtent b="0" l="0" r="0" t="0"/>
          <wp:wrapSquare wrapText="bothSides" distB="0" distT="0" distL="0" distR="0"/>
          <wp:docPr descr="ZSJAK logo.png" id="1" name="image1.png"/>
          <a:graphic>
            <a:graphicData uri="http://schemas.openxmlformats.org/drawingml/2006/picture">
              <pic:pic>
                <pic:nvPicPr>
                  <pic:cNvPr descr="ZSJAK logo.png" id="0" name="image1.png"/>
                  <pic:cNvPicPr preferRelativeResize="0"/>
                </pic:nvPicPr>
                <pic:blipFill>
                  <a:blip r:embed="rId1"/>
                  <a:srcRect b="37726" l="0" r="0" t="0"/>
                  <a:stretch>
                    <a:fillRect/>
                  </a:stretch>
                </pic:blipFill>
                <pic:spPr>
                  <a:xfrm>
                    <a:off x="0" y="0"/>
                    <a:ext cx="783193" cy="681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Základní škola J. A. Komenského, příspěvková organizace </w:t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Komenského 1534, Lysá nad Labem 289 22, okres Nymburk</w:t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line="276" w:lineRule="auto"/>
      <w:rPr>
        <w:color w:val="434343"/>
        <w:sz w:val="18"/>
        <w:szCs w:val="18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Tel./fax. 325 551 220</w:t>
    </w:r>
    <w:r w:rsidDel="00000000" w:rsidR="00000000" w:rsidRPr="00000000">
      <w:rPr>
        <w:color w:val="434343"/>
        <w:sz w:val="18"/>
        <w:szCs w:val="18"/>
        <w:rtl w:val="0"/>
      </w:rPr>
      <w:t xml:space="preserve">   </w:t>
    </w: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e-mail: </w:t>
    </w:r>
    <w:hyperlink r:id="rId2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info@zsjaklysa.cz</w:t>
      </w:r>
    </w:hyperlink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    </w:t>
    </w:r>
    <w:hyperlink r:id="rId3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www.zsjaklysa.cz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rPr>
        <w:rFonts w:ascii="Trebuchet MS" w:cs="Trebuchet MS" w:eastAsia="Trebuchet MS" w:hAnsi="Trebuchet MS"/>
        <w:color w:val="666666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Trebuchet MS" w:cs="Trebuchet MS" w:eastAsia="Trebuchet MS" w:hAnsi="Trebuchet MS"/>
        <w:color w:val="666666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2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zsjaklysa.cz" TargetMode="External"/><Relationship Id="rId3" Type="http://schemas.openxmlformats.org/officeDocument/2006/relationships/hyperlink" Target="http://www.zsjaklys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